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74DB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74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DB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74DB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74DBD">
        <w:rPr>
          <w:noProof/>
          <w:sz w:val="24"/>
          <w:szCs w:val="24"/>
        </w:rPr>
        <w:t>1500</w:t>
      </w:r>
      <w:r w:rsidR="00102979" w:rsidRPr="00F74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74DB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74DB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74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74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74DBD">
        <w:rPr>
          <w:sz w:val="24"/>
          <w:szCs w:val="24"/>
        </w:rPr>
        <w:t xml:space="preserve"> </w:t>
      </w:r>
      <w:r w:rsidR="001964A6" w:rsidRPr="00F74DBD">
        <w:rPr>
          <w:noProof/>
          <w:sz w:val="24"/>
          <w:szCs w:val="24"/>
        </w:rPr>
        <w:t>50:19:0040118:496</w:t>
      </w:r>
      <w:r w:rsidRPr="00F74DB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74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74DBD">
        <w:rPr>
          <w:sz w:val="24"/>
          <w:szCs w:val="24"/>
        </w:rPr>
        <w:t xml:space="preserve"> – «</w:t>
      </w:r>
      <w:r w:rsidR="00597746" w:rsidRPr="00F74DBD">
        <w:rPr>
          <w:noProof/>
          <w:sz w:val="24"/>
          <w:szCs w:val="24"/>
        </w:rPr>
        <w:t>Земли населенных пунктов</w:t>
      </w:r>
      <w:r w:rsidRPr="00F74DB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74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74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74DBD">
        <w:rPr>
          <w:sz w:val="24"/>
          <w:szCs w:val="24"/>
        </w:rPr>
        <w:t xml:space="preserve"> – «</w:t>
      </w:r>
      <w:r w:rsidR="003E59E1" w:rsidRPr="00F74DB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F74DB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74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74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74DBD">
        <w:rPr>
          <w:sz w:val="24"/>
          <w:szCs w:val="24"/>
        </w:rPr>
        <w:t xml:space="preserve">: </w:t>
      </w:r>
      <w:r w:rsidR="00D1191C" w:rsidRPr="00F74DBD">
        <w:rPr>
          <w:noProof/>
          <w:sz w:val="24"/>
          <w:szCs w:val="24"/>
        </w:rPr>
        <w:t>Российская Федерация, Московская область, Рузский городской округ, деревня Рыбушкино</w:t>
      </w:r>
      <w:r w:rsidR="00472CAA" w:rsidRPr="00F74DBD">
        <w:rPr>
          <w:sz w:val="24"/>
          <w:szCs w:val="24"/>
        </w:rPr>
        <w:t xml:space="preserve"> </w:t>
      </w:r>
      <w:r w:rsidRPr="00F74DB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74DB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74DB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74DB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20D667E3" w14:textId="5C5C250A" w:rsidR="006D7B49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Водоохранная зона реки Руза на территории Московской области; полностью Зона затопления в отношении территорий Рузского г.о. Московской области, прилегающих к р. Руза, затапливаемых при половодьях и паводках однопроцентной обеспеченности (повторяемость один раз в 100 лет); Зона сильного подтопления в отношении территорий Рузского г.о. Московской области, прилегающих к зоне затопления р. Руза при глубине залегания грунтовых вод менее 0,3 м; Зона слабого подтопления в отношении территорий Рузского г.о. Московской области, прилегающих к зоне затопления р. Руза при глубине залегания грунтовых вод от 2,0-3,0 м; Зона умеренного подтопления в отношении территорий Рузского г.о. Московской области, прилегающих к зоне затопления р. Руза при глубине залегания грунтовых вод от 0,3-0,7 м до 1,2-2,0 м от поверхности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F74DBD">
        <w:rPr>
          <w:rFonts w:ascii="Times New Roman" w:hAnsi="Times New Roman" w:cs="Times New Roman"/>
          <w:noProof/>
          <w:sz w:val="24"/>
          <w:szCs w:val="24"/>
        </w:rPr>
        <w:t xml:space="preserve"> 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Ограничение прав на земельный участок, предусмотренных статьей 56 Земельного Кодекса РФ</w:t>
      </w:r>
      <w:r w:rsidR="006D7B49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11D5651" w14:textId="3E08E93F" w:rsidR="001D268C" w:rsidRPr="00A31FA7" w:rsidRDefault="00F74DBD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в том числе подземные. Указанное обстоятельство не дает право арендатору требовать с арендодателя возмещения расходов, связанных с освоением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63C928A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F74DB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1F9A454F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F74DBD">
        <w:t xml:space="preserve"> 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 xml:space="preserve">о предстоящем </w:t>
      </w:r>
      <w:r w:rsidRPr="00A31FA7">
        <w:lastRenderedPageBreak/>
        <w:t>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C61B83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716B9E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74DB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74D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74DB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74DB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DB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F74DB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74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74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74D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74DB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DB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F74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74DB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F74D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74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74DB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285AA4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2B85A3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74DB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D7B49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4DBD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ED3096-D9F6-497B-BD8B-90A50898A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9</Pages>
  <Words>3276</Words>
  <Characters>18677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2024-12-11T13:34:00Z</dcterms:modified>
</cp:coreProperties>
</file>